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47.png" ContentType="image/png"/>
  <Override PartName="/word/media/rId77.png" ContentType="image/png"/>
  <Override PartName="/word/media/rId78.png" ContentType="image/png"/>
  <Override PartName="/word/media/rId79.png" ContentType="image/png"/>
  <Override PartName="/word/media/rId48.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would not necessarily be included in a model used for analysis. Here we develop a method for this and apply it to several key outcomes including: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In order to reformulate missing data as a logistic regression 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and socio-economic status (national quintiles). For socio-economic group 1 indicates the most deprived quintile. Complete case analysis has been used, with the dataset limited to notifications from 2010 and on-wards as socio-economic status was not collected prior to this. The code this approach is available as an R package online (</w:t>
      </w:r>
      <w:hyperlink r:id="rId26">
        <w:r>
          <w:rPr>
            <w:rStyle w:val="Hyperlink"/>
          </w:rPr>
          <w:t xml:space="preserve">https://doi.org/10.5281/zenodo.3492200</w:t>
        </w:r>
      </w:hyperlink>
      <w:r>
        <w:t xml:space="preserve">).</w:t>
      </w:r>
    </w:p>
    <w:p>
      <w:pPr>
        <w:pStyle w:val="Heading3"/>
      </w:pPr>
      <w:bookmarkStart w:id="33" w:name="assessing-potential-biases-in-reporting"/>
      <w:r>
        <w:t xml:space="preserve">Assessing potential biases in reporting</w:t>
      </w:r>
      <w:bookmarkEnd w:id="33"/>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drug-resistance"/>
      <w:r>
        <w:t xml:space="preserve">Drug resistance</w:t>
      </w:r>
      <w:bookmarkEnd w:id="38"/>
    </w:p>
    <w:p>
      <w:pPr>
        <w:pStyle w:val="FirstParagraph"/>
      </w:pPr>
      <w:r>
        <w:t xml:space="preserve">Table 2</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pP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pP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pP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pP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pP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pP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pP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39" w:name="bcg-status"/>
      <w:r>
        <w:t xml:space="preserve">BCG status</w:t>
      </w:r>
      <w:bookmarkEnd w:id="39"/>
    </w:p>
    <w:p>
      <w:pPr>
        <w:pStyle w:val="FirstParagraph"/>
      </w:pPr>
      <w:r>
        <w:t xml:space="preserve">There was evidence that BCG status was missing with a MAR mechanism for qll variables considered Table 3. BCG data missingness is strongly associated with year of notification, sex age, ethnic group, and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There was also evidence to suggest that notifications in the lowest socio-economic group were more likely to have a missing BCG status but there was no clear evidence of a trend across socio-economic quintiles. The White ethnic group was more likely to have a missing BCG status than any other ethnic group.</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pP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pP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pP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pP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pP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pP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0" w:name="year-of-bcg-vaccination"/>
      <w:r>
        <w:t xml:space="preserve">Year of BCG vaccination</w:t>
      </w:r>
      <w:bookmarkEnd w:id="40"/>
    </w:p>
    <w:p>
      <w:pPr>
        <w:pStyle w:val="FirstParagraph"/>
      </w:pPr>
      <w:r>
        <w:t xml:space="preserve">As for BCG status, year of BCG vaccination was also clearly missing with MAR mechanisms for the variables considered (Supplementary Table S1). As for BCG status men were more likely to have a missing year of BCG vaccination as were the non-UK born. Older notifications were again more likely to have missing data, with those aged 65+ being more than 2 times more likely to have a missing year of vaccination. However, unlike BCG vaccination status, year of notification showed a clear trend of increasing data completeness from 2010 until 2015. Additionally, for year of BCG vaccination the White ethnic group was more likely to have complete data than any other ethnic group, with those of Black-Caribbean descent being over 3 times more likely to have a missing year of BCG vaccination. Socio-economic status was highly associated with year of vaccination being missing but there was little clear evidence of a trend. The second, and third, poorest quintiles were more likely to have a missing year of vaccination. Whilst the richest, and second richest quintiles were less likely to have a missing year of vaccination.</w:t>
      </w:r>
    </w:p>
    <w:p>
      <w:pPr>
        <w:pStyle w:val="Heading3"/>
      </w:pPr>
      <w:bookmarkStart w:id="41" w:name="date-of-symptom-onset"/>
      <w:r>
        <w:t xml:space="preserve">Date of symptom onset</w:t>
      </w:r>
      <w:bookmarkEnd w:id="41"/>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pP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pP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pP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pP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pP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2" w:name="date-of-diagnosis"/>
      <w:r>
        <w:t xml:space="preserve">Date of diagnosis</w:t>
      </w:r>
      <w:bookmarkEnd w:id="42"/>
    </w:p>
    <w:p>
      <w:pPr>
        <w:pStyle w:val="FirstParagraph"/>
      </w:pPr>
      <w:r>
        <w:t xml:space="preserve">For date of diagnosis there was again strong evidence for an MAR mechanism for all variables considered, except for sex for which there was very weak evidence (Supplementary Table S2). Increasing completeness was found for year of notification as seen previously, as was an increased likelihood of missing data in males and the non-UK born. The White ethnic group was less likely to be missing data on the data of diagnosis as compared to the majority of other ethnic groups, as were the poorest socio-economic group compared to all other socio-economic quintiles. Children (0-14 years old) were again more likely to be missing data than adults in any age group.</w:t>
      </w:r>
    </w:p>
    <w:p>
      <w:pPr>
        <w:pStyle w:val="Heading3"/>
      </w:pPr>
      <w:bookmarkStart w:id="43" w:name="date-of-starting-treatment-and-ending-treatment"/>
      <w:r>
        <w:t xml:space="preserve">Date of starting treatment and ending treatment</w:t>
      </w:r>
      <w:bookmarkEnd w:id="43"/>
    </w:p>
    <w:p>
      <w:pPr>
        <w:pStyle w:val="FirstParagraph"/>
      </w:pPr>
      <w:r>
        <w:t xml:space="preserve">For date of starting treatment there was little evidence that missing data is associated with any variable considered, except for year of notification (Supplementary Table S3). Variable completeness improved year-on-year with a 96% drop in missing data in 2015 compared to 2010. Missing data for the date of ending treatment had a comparable association with the year of notification but also had weak evidence of an association with ethnic group and socio-economic status (Supplementary Table S4). There was some evidence that the poorest socio-economic group was more likely to be missing the date of ending treatment but the evidence for this was mixed. The White ethnic group was slightly more likely to be missing the date of treatment ending than most other ethnic groups.</w:t>
      </w:r>
    </w:p>
    <w:p>
      <w:pPr>
        <w:pStyle w:val="Heading3"/>
      </w:pPr>
      <w:bookmarkStart w:id="44" w:name="date-of-death"/>
      <w:r>
        <w:t xml:space="preserve">Date of death</w:t>
      </w:r>
      <w:bookmarkEnd w:id="44"/>
    </w:p>
    <w:p>
      <w:pPr>
        <w:pStyle w:val="FirstParagraph"/>
      </w:pPr>
      <w:r>
        <w:t xml:space="preserve">For date of death there was some evidence that data was missing with an MAR mechanism for ethnic group and socio-economic status with little evidence for any other association (Supplementary Table S5). These associations should be interpreted carefully due to the strength of the evidence when compared to the number of tests conducted. Whilst the confidence intervals were wide for all ethnic groups there was some weak indication that the White ethnic group were more likely to have a complete date of death than other ethnic groups. Similarly, those in the lowest socio-economic group were somewhat more likely to have a complete date of death than other quintiles. The reduction in the levels of evidence found for case of death may be linked to the reduction in power for this outcome, as mortality is a rare outcome.</w:t>
      </w:r>
    </w:p>
    <w:p>
      <w:pPr>
        <w:pStyle w:val="Heading3"/>
      </w:pPr>
      <w:bookmarkStart w:id="45" w:name="cause-of-death"/>
      <w:r>
        <w:t xml:space="preserve">Cause of death</w:t>
      </w:r>
      <w:bookmarkEnd w:id="45"/>
    </w:p>
    <w:p>
      <w:pPr>
        <w:pStyle w:val="FirstParagraph"/>
      </w:pPr>
      <w:r>
        <w:t xml:space="preserve">For cause of death there was less evidence of an MAR mechanism, with little evidence of an association for year, sex, age, or socio-economic group (Supplementary Table S6). However, there was evidence of an association with ethnic group and very weak evidence of an association with UK birth status. The White ethnic group was less likely to have an incomplete cause of death when compared to the majority of other identified ethnic groups but there was weak evidence to suggest that cause of death was in fact less likely to be missing in those identifying as being of Black-Caribbean, Black-Other, Indian and Bangladeshi descent. The confidence intervals for these estimates were wide, indicating that these estimates may not be reliable. There was again some weak evidence to suggest that the UK born were more likely to be missing a cause of death than the non-UK born, which reverses the trend observed in the other variables explored. As for the date of death cause of death had a small sample size and this may mean that this analysis was underpowered.</w:t>
      </w:r>
    </w:p>
    <w:p>
      <w:pPr>
        <w:pStyle w:val="Heading2"/>
      </w:pPr>
      <w:bookmarkStart w:id="46" w:name="assessing-potential-biases-in-reporting-1"/>
      <w:r>
        <w:t xml:space="preserve">Assessing potential biases in reporting</w:t>
      </w:r>
      <w:bookmarkEnd w:id="46"/>
    </w:p>
    <w:p>
      <w:pPr>
        <w:pStyle w:val="Compact"/>
        <w:numPr>
          <w:numId w:val="1005"/>
          <w:ilvl w:val="0"/>
        </w:numPr>
      </w:pPr>
      <w:r>
        <w:t xml:space="preserve">Describe pattern in notifications by month and within months.</w:t>
      </w:r>
    </w:p>
    <w:p>
      <w:pPr>
        <w:pStyle w:val="Compact"/>
        <w:numPr>
          <w:numId w:val="1005"/>
          <w:ilvl w:val="0"/>
        </w:numPr>
      </w:pPr>
      <w:r>
        <w:t xml:space="preserve">Describe which variables also follow this pattern.</w:t>
      </w:r>
    </w:p>
    <w:p>
      <w:pPr>
        <w:pStyle w:val="Compact"/>
        <w:numPr>
          <w:numId w:val="1005"/>
          <w:ilvl w:val="0"/>
        </w:numPr>
      </w:pPr>
      <w:r>
        <w:t xml:space="preserve">Discuss variables with potential recall bias.</w:t>
      </w:r>
    </w:p>
    <w:p>
      <w:pPr>
        <w:pStyle w:val="FirstParagraph"/>
      </w:pPr>
      <w:r>
        <w:t xml:space="preserve">It is also likely that some of the dates recorded are inaccurate or systematically biased.</w:t>
      </w:r>
    </w:p>
    <w:p>
      <w:pPr>
        <w:pStyle w:val="BodyText"/>
      </w:pPr>
      <w:r>
        <w:t xml:space="preserve">date of notification can be used as a baseline on which to judge other date variables</w:t>
      </w:r>
    </w:p>
    <w:p>
      <w:pPr>
        <w:pStyle w:val="BodyText"/>
      </w:pPr>
      <w:r>
        <w:t xml:space="preserve">There is some evidence of a seasonal trend in notifications, with a higher proportion of cases notified in the May, June and July than in the rest of the year. This seasonality would have to be accounted for if conducting analysis on a monthly scale and date of notification was being used as the date of first contact with the health system. There is little evidence that date of notification varies by day of the month.</w:t>
      </w:r>
    </w:p>
    <w:p>
      <w:pPr>
        <w:pStyle w:val="BodyText"/>
      </w:pPr>
      <w:r>
        <w:t xml:space="preserve">date of symptom onset, this represents the closest approximation to the date when a case became infectious. Unfortunately there are multiple issues with this measure, the first of which being is that it is only complete across the data extract.</w:t>
      </w:r>
    </w:p>
    <w:p>
      <w:pPr>
        <w:pStyle w:val="BodyText"/>
      </w:pPr>
      <w:r>
        <w:t xml:space="preserve">The date of symptom onset is highly susceptible to recall bias with the majority of cases becoming symptomatic on the first of each month, with some evidence that a greater number of cases occur in January than would be expected.</w:t>
      </w:r>
    </w:p>
    <w:p>
      <w:pPr>
        <w:pStyle w:val="BodyText"/>
      </w:pPr>
      <w:r>
        <w:t xml:space="preserve">Another possible measure of the number of cases is the date of diagnosis, this should be a more reliable variable than the date of symptom onset, as it does not rely on the recall of the case.</w:t>
      </w:r>
    </w:p>
    <w:p>
      <w:pPr>
        <w:pStyle w:val="BodyText"/>
      </w:pPr>
      <w:r>
        <w:t xml:space="preserve">The date of starting treatment should be a more reliable contact date as it records an official contact with the health system. As for the data of notification there is some evidence of a seasonal trend for date of starting treatment, with a peak of cases starting treatment in May, June and July. However, this seasonal trend is difficult to identify when cases starting treatment are visualised by month over time. Unlike the date of symptom onset there is little evidence of recall bias by month, or by day.</w:t>
      </w:r>
    </w:p>
    <w:p>
      <w:pPr>
        <w:pStyle w:val="BodyText"/>
      </w:pPr>
      <w:r>
        <w:t xml:space="preserve">The date of ending treatment does not appear to display similar seasonality. This maybe because treatment time varies between individuals and this dilutes the seasonality observed for the date of starting treatment. As noted previously, there was some evidence of recall bias when the proportion of those ending treatment was examined on a day of the month basis, with a larger proportion ending treatment on the first of the month than on any other day. The date of ending treatment was not recorded in 2000, or 2001, and was highly missing for the first several years after collection began.</w:t>
      </w:r>
    </w:p>
    <w:p>
      <w:pPr>
        <w:pStyle w:val="CaptionedFigure"/>
      </w:pPr>
      <w:r>
        <w:drawing>
          <wp:inline>
            <wp:extent cx="5943600" cy="5943600"/>
            <wp:effectExtent b="0" l="0" r="0" t="0"/>
            <wp:docPr descr="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Heading1"/>
      </w:pPr>
      <w:bookmarkStart w:id="49" w:name="discussion"/>
      <w:r>
        <w:t xml:space="preserve">Discussion</w:t>
      </w:r>
      <w:bookmarkEnd w:id="49"/>
    </w:p>
    <w:p>
      <w:pPr>
        <w:pStyle w:val="Heading3"/>
      </w:pPr>
      <w:bookmarkStart w:id="50" w:name="statement-of-primary-findings"/>
      <w:r>
        <w:t xml:space="preserve">Statement of primary findings</w:t>
      </w:r>
      <w:bookmarkEnd w:id="50"/>
    </w:p>
    <w:p>
      <w:pPr>
        <w:pStyle w:val="FirstParagraph"/>
      </w:pPr>
      <w:r>
        <w:t xml:space="preserve">In the ETS system we found a high degree of missing data for several important variables. We also found that there is likely to be strong missing at random (MAR) mechanism underlying this missing data for multiple variables. Several factors are strongly associated with data being missing for many variables, including UK birth status, ethnic group, socio-economic status and year. These MAR mechanisms must be adjusted for in studies using this data to avoid introducing bias. We found that date variables in particular suffered from changing data completeness over time, which may introduce spurious temporal trends if not fully understood.</w:t>
      </w:r>
    </w:p>
    <w:p>
      <w:pPr>
        <w:pStyle w:val="BodyText"/>
      </w:pPr>
      <w:r>
        <w:rPr>
          <w:i/>
        </w:rPr>
        <w:t xml:space="preserve">The following analysis is not currently in the paper but it was in the chapter - is there a case for including?</w:t>
      </w:r>
    </w:p>
    <w:p>
      <w:pPr>
        <w:pStyle w:val="BodyText"/>
      </w:pPr>
      <w:r>
        <w:t xml:space="preserve">We also found that for several variables, including the date of symptom onset, there was a large degree of recall bias when aggregating by day or month. Several variables, including date of notification and date of starting treatment, showed a seasonal trend with a maximum in the summer months. The date of ending treatment showed less evidence of a seasonal trend.</w:t>
      </w:r>
    </w:p>
    <w:p>
      <w:pPr>
        <w:pStyle w:val="Heading3"/>
      </w:pPr>
      <w:bookmarkStart w:id="51" w:name="strengths-and-limitations-of-the-study"/>
      <w:r>
        <w:t xml:space="preserve">Strengths and limitations of the study</w:t>
      </w:r>
      <w:bookmarkEnd w:id="51"/>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52" w:name="strengths-and-limitations-in-comparison-to-the-literature"/>
      <w:r>
        <w:t xml:space="preserve">Strengths and limitations in comparison to the literature</w:t>
      </w:r>
      <w:bookmarkEnd w:id="52"/>
    </w:p>
    <w:p>
      <w:pPr>
        <w:pStyle w:val="Heading3"/>
      </w:pPr>
      <w:bookmarkStart w:id="53" w:name="meaning-of-the-study"/>
      <w:r>
        <w:t xml:space="preserve">Meaning of the study</w:t>
      </w:r>
      <w:bookmarkEnd w:id="53"/>
    </w:p>
    <w:p>
      <w:pPr>
        <w:pStyle w:val="Compact"/>
        <w:numPr>
          <w:numId w:val="1006"/>
          <w:ilvl w:val="0"/>
        </w:numPr>
      </w:pPr>
      <w:r>
        <w:t xml:space="preserve">Surveillance data is likely to have a high degree of missing data. In the ETS missing for key outcomes is associated with demographic factors such as….</w:t>
      </w:r>
    </w:p>
    <w:p>
      <w:pPr>
        <w:pStyle w:val="Compact"/>
        <w:numPr>
          <w:numId w:val="1006"/>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4" w:name="unanswered-questions-and-future-research"/>
      <w:r>
        <w:t xml:space="preserve">Unanswered questions and future research</w:t>
      </w:r>
      <w:bookmarkEnd w:id="54"/>
    </w:p>
    <w:p>
      <w:pPr>
        <w:pStyle w:val="Compact"/>
        <w:numPr>
          <w:numId w:val="1007"/>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5" w:name="references"/>
      <w:r>
        <w:t xml:space="preserve">References</w:t>
      </w:r>
      <w:bookmarkEnd w:id="55"/>
    </w:p>
    <w:bookmarkStart w:id="65" w:name="refs"/>
    <w:bookmarkStart w:id="56"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6"/>
    <w:bookmarkStart w:id="57" w:name="ref-PHE2017"/>
    <w:p>
      <w:pPr>
        <w:pStyle w:val="BodyText"/>
      </w:pPr>
      <w:r>
        <w:t xml:space="preserve">2 Public Health England. Tuberculosis in England 2017 report ( presenting data to end of 2016 ) About Public Health England. 2017.</w:t>
      </w:r>
      <w:r>
        <w:t xml:space="preserve"> </w:t>
      </w:r>
    </w:p>
    <w:bookmarkEnd w:id="57"/>
    <w:bookmarkStart w:id="58"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8"/>
    <w:bookmarkStart w:id="59"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9"/>
    <w:bookmarkStart w:id="60"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0"/>
    <w:bookmarkStart w:id="61" w:name="ref-PHE2016"/>
    <w:p>
      <w:pPr>
        <w:pStyle w:val="BodyText"/>
      </w:pPr>
      <w:r>
        <w:t xml:space="preserve">6 PHE. Tuberculosis in England 2016 Report (presenting data to end of 2015). 2016.</w:t>
      </w:r>
      <w:r>
        <w:t xml:space="preserve"> </w:t>
      </w:r>
    </w:p>
    <w:bookmarkEnd w:id="61"/>
    <w:bookmarkStart w:id="62"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2"/>
    <w:bookmarkStart w:id="63"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3"/>
    <w:bookmarkStart w:id="64" w:name="ref-Groothuis-oudshoorn"/>
    <w:p>
      <w:pPr>
        <w:pStyle w:val="BodyText"/>
      </w:pPr>
      <w:r>
        <w:t xml:space="preserve">9 Groothuis-oudshoorn K. Journal of Statistical Software MICE : Multivariate Imputation by Chained.;</w:t>
      </w:r>
      <w:r>
        <w:rPr>
          <w:b/>
        </w:rPr>
        <w:t xml:space="preserve">VV</w:t>
      </w:r>
      <w:r>
        <w:t xml:space="preserve">.</w:t>
      </w:r>
    </w:p>
    <w:bookmarkEnd w:id="64"/>
    <w:bookmarkEnd w:id="65"/>
    <w:p>
      <w:pPr>
        <w:pStyle w:val="Heading2"/>
      </w:pPr>
      <w:bookmarkStart w:id="66" w:name="results-copy-to-top"/>
      <w:r>
        <w:t xml:space="preserve">Results</w:t>
      </w:r>
      <w:r>
        <w:t xml:space="preserve"> </w:t>
      </w:r>
      <w:r>
        <w:rPr>
          <w:i/>
        </w:rPr>
        <w:t xml:space="preserve">Copy to top</w:t>
      </w:r>
      <w:bookmarkEnd w:id="66"/>
    </w:p>
    <w:p>
      <w:pPr>
        <w:pStyle w:val="Heading1"/>
      </w:pPr>
      <w:bookmarkStart w:id="67"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7"/>
    </w:p>
    <w:p>
      <w:pPr>
        <w:pStyle w:val="FirstParagraph"/>
      </w:pPr>
      <w:r>
        <w:t xml:space="preserve">Sam Abbott, Hannah Christensen, Ellen Brooks-Pollock</w:t>
      </w:r>
    </w:p>
    <w:p>
      <w:pPr>
        <w:pStyle w:val="Heading2"/>
      </w:pPr>
      <w:bookmarkStart w:id="68" w:name="data-completeness-2"/>
      <w:r>
        <w:t xml:space="preserve">Data completeness</w:t>
      </w:r>
      <w:bookmarkEnd w:id="68"/>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w:t>
      </w:r>
    </w:p>
    <w:p>
      <w:pPr>
        <w:pStyle w:val="Heading2"/>
      </w:pPr>
      <w:bookmarkStart w:id="70" w:name="drivers-of-data-completeness---additional-results-tables"/>
      <w:r>
        <w:t xml:space="preserve">Drivers of data completeness - additional results tables</w:t>
      </w:r>
      <w:bookmarkEnd w:id="70"/>
    </w:p>
    <w:p>
      <w:pPr>
        <w:pStyle w:val="Heading3"/>
      </w:pPr>
      <w:bookmarkStart w:id="71" w:name="year-of-bcg-vaccination-1"/>
      <w:r>
        <w:t xml:space="preserve">Year of BCG vaccination</w:t>
      </w:r>
      <w:bookmarkEnd w:id="71"/>
    </w:p>
    <w:p>
      <w:pPr>
        <w:pStyle w:val="TableCaption"/>
      </w:pPr>
      <w:r>
        <w:t xml:space="preserve">Supplementary Table S1: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1: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pP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pP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pP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pP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pP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pP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2" w:name="date-of-diagnosis-1"/>
      <w:r>
        <w:t xml:space="preserve">Date of diagnosis</w:t>
      </w:r>
      <w:bookmarkEnd w:id="72"/>
    </w:p>
    <w:p>
      <w:pPr>
        <w:pStyle w:val="TableCaption"/>
      </w:pPr>
      <w:r>
        <w:t xml:space="preserve">Supplementary Table S2: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2: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pP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pP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pP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pP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pP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pP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3" w:name="date-of-starting-treatment-and-ending-treatment-1"/>
      <w:r>
        <w:t xml:space="preserve">Date of starting treatment and ending treatment</w:t>
      </w:r>
      <w:bookmarkEnd w:id="73"/>
    </w:p>
    <w:p>
      <w:pPr>
        <w:pStyle w:val="TableCaption"/>
      </w:pPr>
      <w:r>
        <w:t xml:space="preserve">Supplementary Table S3: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pP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pP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pP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pP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pP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pP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pP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S4: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4: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pP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pP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pP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pP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pP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pP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pP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4" w:name="date-of-death-1"/>
      <w:r>
        <w:t xml:space="preserve">Date of death</w:t>
      </w:r>
      <w:bookmarkEnd w:id="74"/>
    </w:p>
    <w:p>
      <w:pPr>
        <w:pStyle w:val="TableCaption"/>
      </w:pPr>
      <w:r>
        <w:t xml:space="preserve">Supplementary Table S5: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5: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pP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pP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pP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pP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pP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pP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pP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5" w:name="cause-of-death-1"/>
      <w:r>
        <w:t xml:space="preserve">Cause of death</w:t>
      </w:r>
      <w:bookmarkEnd w:id="75"/>
    </w:p>
    <w:p>
      <w:pPr>
        <w:pStyle w:val="TableCaption"/>
      </w:pPr>
      <w:r>
        <w:t xml:space="preserve">Supplementary Table S6: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6: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pP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pP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pP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pP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pP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pP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pP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6" w:name="assessing-potential-biases-in-reporting-2"/>
      <w:r>
        <w:t xml:space="preserve">Assessing potential biases in reporting</w:t>
      </w:r>
      <w:bookmarkEnd w:id="76"/>
    </w:p>
    <w:p>
      <w:pPr>
        <w:pStyle w:val="CaptionedFigure"/>
      </w:pPr>
      <w:r>
        <w:drawing>
          <wp:inline>
            <wp:extent cx="5943600" cy="5943600"/>
            <wp:effectExtent b="0" l="0" r="0" t="0"/>
            <wp:docPr descr="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47" Target="media/rId47.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2019-10-21T10:21:05Z</dcterms:created>
  <dcterms:modified xsi:type="dcterms:W3CDTF">2019-10-21T10:21:05Z</dcterms:modified>
</cp:coreProperties>
</file>